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，体检结果报告无需自取，请提醒前台统一寄至市教育局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508" w:firstLineChars="2295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健康管理中心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6240" w:firstLineChars="26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26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0"/>
          <w:szCs w:val="30"/>
        </w:rPr>
        <w:t>高中、中职及中职实习指导教师资格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371"/>
        <w:gridCol w:w="3659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4886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嘉兴市教育局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83831932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高中、中职及中职实习指导教师资格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县服务点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89102548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84273223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85236021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85236887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86121857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 xml:space="preserve">87010626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87229946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8021571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sectPr>
      <w:pgSz w:w="16838" w:h="11906" w:orient="landscape"/>
      <w:pgMar w:top="1474" w:right="1418" w:bottom="147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36D61"/>
    <w:rsid w:val="3FBBA4C7"/>
    <w:rsid w:val="FFE36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2023-09-28T22:17:00Z</dcterms:created>
  <dc:creator>user</dc:creator>
  <cp:lastModifiedBy>user</cp:lastModifiedBy>
  <dcterms:modified xsi:type="dcterms:W3CDTF">2023-09-28T15:50:10Z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